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6" w:rsidRDefault="007848CC" w:rsidP="00437AE0">
      <w:pPr>
        <w:pStyle w:val="Standard"/>
        <w:spacing w:after="180" w:line="340" w:lineRule="exact"/>
        <w:ind w:left="-566"/>
        <w:jc w:val="both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6622FE">
        <w:rPr>
          <w:rFonts w:ascii="標楷體" w:eastAsia="標楷體" w:hAnsi="標楷體"/>
          <w:b/>
          <w:noProof/>
          <w:color w:val="000000"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08C28" wp14:editId="0E3DA098">
                <wp:simplePos x="0" y="0"/>
                <wp:positionH relativeFrom="column">
                  <wp:posOffset>8389620</wp:posOffset>
                </wp:positionH>
                <wp:positionV relativeFrom="paragraph">
                  <wp:posOffset>-243205</wp:posOffset>
                </wp:positionV>
                <wp:extent cx="1021080" cy="525780"/>
                <wp:effectExtent l="0" t="0" r="7620" b="76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8CC" w:rsidRPr="006622FE" w:rsidRDefault="007848CC" w:rsidP="007848C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6622F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附件</w:t>
                            </w:r>
                            <w:r w:rsidR="005636D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60.6pt;margin-top:-19.15pt;width:80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" stroked="f">
                <v:textbox>
                  <w:txbxContent>
                    <w:p w:rsidR="007848CC" w:rsidRPr="006622FE" w:rsidRDefault="007848CC" w:rsidP="007848C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6622FE">
                        <w:rPr>
                          <w:rFonts w:hint="eastAsia"/>
                          <w:sz w:val="40"/>
                          <w:szCs w:val="40"/>
                        </w:rPr>
                        <w:t>附件</w:t>
                      </w:r>
                      <w:r w:rsidR="005636DD">
                        <w:rPr>
                          <w:rFonts w:hint="eastAsia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249D0">
        <w:rPr>
          <w:rFonts w:ascii="標楷體" w:eastAsia="標楷體" w:hAnsi="標楷體" w:cs="Arial" w:hint="eastAsia"/>
          <w:b/>
          <w:color w:val="000000"/>
          <w:sz w:val="32"/>
          <w:szCs w:val="32"/>
        </w:rPr>
        <w:t>臺</w:t>
      </w:r>
      <w:r w:rsidR="001036DF">
        <w:rPr>
          <w:rFonts w:ascii="標楷體" w:eastAsia="標楷體" w:hAnsi="標楷體" w:cs="Arial" w:hint="eastAsia"/>
          <w:b/>
          <w:color w:val="000000"/>
          <w:sz w:val="32"/>
          <w:szCs w:val="32"/>
        </w:rPr>
        <w:t>中市</w:t>
      </w:r>
      <w:r w:rsidR="00634F7A">
        <w:rPr>
          <w:rFonts w:ascii="標楷體" w:eastAsia="標楷體" w:hAnsi="標楷體" w:cs="Arial"/>
          <w:b/>
          <w:color w:val="000000"/>
          <w:sz w:val="32"/>
          <w:szCs w:val="32"/>
        </w:rPr>
        <w:t>民間辦理大型群聚活動公共意外責任保險-活動事件保險金額一覽表</w:t>
      </w:r>
    </w:p>
    <w:p w:rsidR="000F33EA" w:rsidRDefault="00F329B6">
      <w:pPr>
        <w:pStyle w:val="Standard"/>
        <w:spacing w:after="180" w:line="340" w:lineRule="exact"/>
        <w:ind w:left="-566"/>
        <w:jc w:val="both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（</w:t>
      </w:r>
      <w:r w:rsidR="00176626">
        <w:rPr>
          <w:rFonts w:ascii="標楷體" w:eastAsia="標楷體" w:hAnsi="標楷體" w:cs="Arial" w:hint="eastAsia"/>
          <w:b/>
          <w:color w:val="000000"/>
          <w:sz w:val="32"/>
          <w:szCs w:val="32"/>
        </w:rPr>
        <w:t>參考</w:t>
      </w:r>
      <w:r w:rsidRPr="00F329B6">
        <w:rPr>
          <w:rFonts w:ascii="標楷體" w:eastAsia="標楷體" w:hAnsi="標楷體" w:cs="Arial" w:hint="eastAsia"/>
          <w:b/>
          <w:color w:val="000000"/>
          <w:sz w:val="32"/>
          <w:szCs w:val="32"/>
        </w:rPr>
        <w:t>行政院核定之「公共場所或舉辦各類活動投保責任保險適足保險金額建議方案」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）</w:t>
      </w:r>
    </w:p>
    <w:tbl>
      <w:tblPr>
        <w:tblW w:w="14538" w:type="dxa"/>
        <w:tblInd w:w="-6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996"/>
        <w:gridCol w:w="4745"/>
        <w:gridCol w:w="1332"/>
        <w:gridCol w:w="1332"/>
        <w:gridCol w:w="1333"/>
        <w:gridCol w:w="1332"/>
        <w:gridCol w:w="1333"/>
        <w:gridCol w:w="1701"/>
      </w:tblGrid>
      <w:tr w:rsidR="00F329B6" w:rsidTr="00994802">
        <w:trPr>
          <w:trHeight w:val="330"/>
        </w:trPr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FF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保險內容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176626">
            <w:pPr>
              <w:pStyle w:val="Standard"/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176626">
            <w:pPr>
              <w:pStyle w:val="Standard"/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</w:rPr>
              <w:t>二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176626">
            <w:pPr>
              <w:pStyle w:val="Standard"/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</w:rPr>
              <w:t>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176626">
            <w:pPr>
              <w:pStyle w:val="Standard"/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</w:rPr>
              <w:t>四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176626">
            <w:pPr>
              <w:pStyle w:val="Standard"/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</w:rPr>
              <w:t>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</w:rPr>
              <w:t>備註</w:t>
            </w:r>
          </w:p>
        </w:tc>
      </w:tr>
      <w:tr w:rsidR="00F329B6" w:rsidTr="00994802">
        <w:trPr>
          <w:cantSplit/>
          <w:trHeight w:val="330"/>
        </w:trPr>
        <w:tc>
          <w:tcPr>
            <w:tcW w:w="1430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保險金額</w:t>
            </w:r>
          </w:p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幣別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: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新臺幣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4745" w:type="dxa"/>
            <w:tcBorders>
              <w:top w:val="single" w:sz="24" w:space="0" w:color="FF0000"/>
              <w:left w:val="single" w:sz="2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每一個人體傷責任</w:t>
            </w:r>
          </w:p>
        </w:tc>
        <w:tc>
          <w:tcPr>
            <w:tcW w:w="1332" w:type="dxa"/>
            <w:tcBorders>
              <w:top w:val="single" w:sz="24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24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24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24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24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701" w:type="dxa"/>
            <w:vMerge w:val="restart"/>
            <w:tcBorders>
              <w:top w:val="single" w:sz="24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說明</w:t>
            </w:r>
          </w:p>
        </w:tc>
      </w:tr>
      <w:tr w:rsidR="00F329B6" w:rsidTr="00994802">
        <w:trPr>
          <w:cantSplit/>
          <w:trHeight w:val="330"/>
        </w:trPr>
        <w:tc>
          <w:tcPr>
            <w:tcW w:w="1430" w:type="dxa"/>
            <w:gridSpan w:val="2"/>
            <w:vMerge/>
            <w:tcBorders>
              <w:top w:val="single" w:sz="24" w:space="0" w:color="FF0000"/>
              <w:left w:val="single" w:sz="24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  <w:tc>
          <w:tcPr>
            <w:tcW w:w="4745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每一意外事故體傷責任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b/>
                <w:color w:val="000000"/>
                <w:sz w:val="22"/>
              </w:rPr>
              <w:t>,000</w:t>
            </w:r>
            <w:r w:rsidR="00F329B6">
              <w:rPr>
                <w:rFonts w:ascii="Times New Roman" w:eastAsia="標楷體" w:hAnsi="Times New Roman"/>
                <w:b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1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2,000</w:t>
            </w:r>
            <w:r w:rsidR="00C83C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1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8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,000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2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4,000</w:t>
            </w:r>
            <w:r w:rsidR="00C83C5E"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3</w:t>
            </w:r>
            <w:r w:rsidR="00F329B6">
              <w:rPr>
                <w:rFonts w:ascii="Times New Roman" w:eastAsia="標楷體" w:hAnsi="Times New Roman"/>
                <w:b/>
                <w:color w:val="000000"/>
                <w:sz w:val="22"/>
              </w:rPr>
              <w:t>億</w:t>
            </w:r>
          </w:p>
        </w:tc>
        <w:tc>
          <w:tcPr>
            <w:tcW w:w="1701" w:type="dxa"/>
            <w:vMerge/>
            <w:tcBorders>
              <w:top w:val="single" w:sz="24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</w:tr>
      <w:tr w:rsidR="00F329B6" w:rsidTr="00994802">
        <w:trPr>
          <w:cantSplit/>
          <w:trHeight w:val="396"/>
        </w:trPr>
        <w:tc>
          <w:tcPr>
            <w:tcW w:w="1430" w:type="dxa"/>
            <w:gridSpan w:val="2"/>
            <w:vMerge/>
            <w:tcBorders>
              <w:top w:val="single" w:sz="24" w:space="0" w:color="FF0000"/>
              <w:left w:val="single" w:sz="24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  <w:tc>
          <w:tcPr>
            <w:tcW w:w="4745" w:type="dxa"/>
            <w:tcBorders>
              <w:top w:val="single" w:sz="6" w:space="0" w:color="FF0000"/>
              <w:left w:val="single" w:sz="2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每一意外事故財損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701" w:type="dxa"/>
            <w:vMerge/>
            <w:tcBorders>
              <w:top w:val="single" w:sz="24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</w:tr>
      <w:tr w:rsidR="00F329B6" w:rsidTr="00994802">
        <w:trPr>
          <w:cantSplit/>
          <w:trHeight w:val="330"/>
        </w:trPr>
        <w:tc>
          <w:tcPr>
            <w:tcW w:w="1430" w:type="dxa"/>
            <w:gridSpan w:val="2"/>
            <w:vMerge/>
            <w:tcBorders>
              <w:top w:val="single" w:sz="24" w:space="0" w:color="FF0000"/>
              <w:left w:val="single" w:sz="24" w:space="0" w:color="FF0000"/>
              <w:bottom w:val="single" w:sz="6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  <w:tc>
          <w:tcPr>
            <w:tcW w:w="4745" w:type="dxa"/>
            <w:tcBorders>
              <w:top w:val="single" w:sz="6" w:space="0" w:color="FF0000"/>
              <w:left w:val="single" w:sz="2" w:space="0" w:color="FF0000"/>
              <w:bottom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保險期間內之最高賠償金額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color w:val="000000"/>
                <w:sz w:val="22"/>
              </w:rPr>
              <w:t>2,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400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color w:val="000000"/>
                <w:sz w:val="22"/>
              </w:rPr>
              <w:t>4,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400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6" w:space="0" w:color="FF0000"/>
              <w:left w:val="single" w:sz="6" w:space="0" w:color="FF0000"/>
              <w:bottom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color w:val="000000"/>
                <w:sz w:val="22"/>
              </w:rPr>
              <w:t>6,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400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2" w:type="dxa"/>
            <w:tcBorders>
              <w:top w:val="single" w:sz="6" w:space="0" w:color="FF0000"/>
              <w:left w:val="single" w:sz="6" w:space="0" w:color="FF0000"/>
              <w:bottom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億</w:t>
            </w:r>
            <w:r w:rsidR="00C83C5E">
              <w:rPr>
                <w:rFonts w:ascii="Times New Roman" w:eastAsia="標楷體" w:hAnsi="Times New Roman" w:hint="eastAsia"/>
                <w:color w:val="000000"/>
                <w:sz w:val="22"/>
              </w:rPr>
              <w:t>8,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400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333" w:type="dxa"/>
            <w:tcBorders>
              <w:top w:val="single" w:sz="6" w:space="0" w:color="FF0000"/>
              <w:left w:val="single" w:sz="6" w:space="0" w:color="FF0000"/>
              <w:bottom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C83C5E">
            <w:pPr>
              <w:pStyle w:val="Standard"/>
              <w:widowControl/>
              <w:spacing w:line="240" w:lineRule="atLeast"/>
              <w:jc w:val="righ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億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400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萬</w:t>
            </w:r>
          </w:p>
        </w:tc>
        <w:tc>
          <w:tcPr>
            <w:tcW w:w="1701" w:type="dxa"/>
            <w:vMerge/>
            <w:tcBorders>
              <w:top w:val="single" w:sz="24" w:space="0" w:color="FF0000"/>
              <w:left w:val="single" w:sz="6" w:space="0" w:color="FF0000"/>
              <w:bottom w:val="single" w:sz="6" w:space="0" w:color="FF0000"/>
              <w:right w:val="single" w:sz="24" w:space="0" w:color="FF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</w:tr>
      <w:tr w:rsidR="00F329B6" w:rsidTr="00994802">
        <w:trPr>
          <w:cantSplit/>
          <w:trHeight w:val="658"/>
        </w:trPr>
        <w:tc>
          <w:tcPr>
            <w:tcW w:w="434" w:type="dxa"/>
            <w:vMerge w:val="restart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室</w:t>
            </w:r>
          </w:p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內</w:t>
            </w:r>
          </w:p>
          <w:p w:rsidR="00F329B6" w:rsidRDefault="00F329B6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996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1.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靜態</w:t>
            </w:r>
          </w:p>
        </w:tc>
        <w:tc>
          <w:tcPr>
            <w:tcW w:w="474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演講、座談會、藝文活動、研習會、記者會、非主辦單位之櫃位或展覽商等其他靜態</w:t>
            </w:r>
            <w:r>
              <w:rPr>
                <w:rFonts w:ascii="Times New Roman" w:eastAsia="標楷體" w:hAnsi="Times New Roman"/>
                <w:b/>
                <w:sz w:val="22"/>
              </w:rPr>
              <w:t>室內</w:t>
            </w:r>
            <w:r>
              <w:rPr>
                <w:rFonts w:ascii="Times New Roman" w:eastAsia="標楷體" w:hAnsi="Times New Roman"/>
                <w:sz w:val="22"/>
              </w:rPr>
              <w:t>活動</w:t>
            </w:r>
          </w:p>
        </w:tc>
        <w:tc>
          <w:tcPr>
            <w:tcW w:w="133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 w:rsidP="00F329B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  <w:p w:rsidR="00176626" w:rsidRDefault="00176626" w:rsidP="00F329B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33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9B20B1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1,00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以上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~3,000</w:t>
            </w:r>
            <w:r w:rsidR="00F329B6"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3,00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</w:p>
        </w:tc>
        <w:tc>
          <w:tcPr>
            <w:tcW w:w="133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</w:tc>
        <w:tc>
          <w:tcPr>
            <w:tcW w:w="133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室內靜態活動，為較低度之風險</w:t>
            </w:r>
          </w:p>
        </w:tc>
      </w:tr>
      <w:tr w:rsidR="00F329B6" w:rsidTr="00994802">
        <w:trPr>
          <w:cantSplit/>
          <w:trHeight w:val="330"/>
        </w:trPr>
        <w:tc>
          <w:tcPr>
            <w:tcW w:w="434" w:type="dxa"/>
            <w:vMerge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2.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動態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音樂會、餐會、謝年會、博覽會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美食、資訊、旅遊、動漫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、</w:t>
            </w:r>
            <w:r>
              <w:rPr>
                <w:rFonts w:ascii="Times New Roman" w:eastAsia="標楷體" w:hAnsi="Times New Roman" w:hint="eastAsia"/>
                <w:sz w:val="22"/>
              </w:rPr>
              <w:t>商展</w:t>
            </w:r>
            <w:r>
              <w:rPr>
                <w:rFonts w:ascii="Times New Roman" w:eastAsia="標楷體" w:hAnsi="Times New Roman"/>
                <w:sz w:val="22"/>
              </w:rPr>
              <w:t>、運動球賽、園遊會、家庭日、</w:t>
            </w:r>
            <w:r>
              <w:rPr>
                <w:rFonts w:ascii="Times New Roman" w:eastAsia="標楷體" w:hAnsi="Times New Roman"/>
              </w:rPr>
              <w:t>演唱會等其他動態室內活動。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以上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~2,000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2,00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~5,000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5,00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~10,000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10,00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~15,000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15,00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29B6" w:rsidRDefault="00F329B6">
            <w:pPr>
              <w:pStyle w:val="Standard"/>
              <w:widowControl/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994802" w:rsidTr="00465C42">
        <w:trPr>
          <w:cantSplit/>
          <w:trHeight w:val="330"/>
        </w:trPr>
        <w:tc>
          <w:tcPr>
            <w:tcW w:w="434" w:type="dxa"/>
            <w:vMerge/>
            <w:tcBorders>
              <w:top w:val="single" w:sz="24" w:space="0" w:color="FF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3.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風險性高</w:t>
            </w:r>
          </w:p>
        </w:tc>
        <w:tc>
          <w:tcPr>
            <w:tcW w:w="47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a5"/>
              <w:widowControl/>
              <w:numPr>
                <w:ilvl w:val="0"/>
                <w:numId w:val="2"/>
              </w:numPr>
              <w:spacing w:line="0" w:lineRule="atLeast"/>
              <w:ind w:left="255" w:hanging="255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夜店、</w:t>
            </w:r>
            <w:r>
              <w:rPr>
                <w:rFonts w:ascii="Times New Roman" w:eastAsia="標楷體" w:hAnsi="Times New Roman"/>
                <w:sz w:val="22"/>
              </w:rPr>
              <w:t>SPA</w:t>
            </w:r>
            <w:r>
              <w:rPr>
                <w:rFonts w:ascii="Times New Roman" w:eastAsia="標楷體" w:hAnsi="Times New Roman"/>
                <w:sz w:val="22"/>
              </w:rPr>
              <w:t>會館、運動中心、電影院等；或</w:t>
            </w:r>
          </w:p>
          <w:p w:rsidR="00994802" w:rsidRDefault="00994802">
            <w:pPr>
              <w:pStyle w:val="a5"/>
              <w:widowControl/>
              <w:numPr>
                <w:ilvl w:val="0"/>
                <w:numId w:val="1"/>
              </w:numPr>
              <w:spacing w:line="0" w:lineRule="atLeast"/>
              <w:ind w:left="255" w:hanging="255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有施放煙火、爆竹或其他易爆易燃物質、跨年晚會等</w:t>
            </w:r>
            <w:r>
              <w:rPr>
                <w:rFonts w:ascii="Times New Roman" w:eastAsia="標楷體" w:hAnsi="Times New Roman"/>
              </w:rPr>
              <w:t>其他風險性高之</w:t>
            </w:r>
            <w:r>
              <w:rPr>
                <w:rFonts w:ascii="Times New Roman" w:eastAsia="標楷體" w:hAnsi="Times New Roman"/>
                <w:sz w:val="22"/>
              </w:rPr>
              <w:t>室內活動</w:t>
            </w:r>
          </w:p>
        </w:tc>
        <w:tc>
          <w:tcPr>
            <w:tcW w:w="3997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 w:rsidP="00546A4F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  <w:p w:rsidR="00994802" w:rsidRPr="00176626" w:rsidRDefault="00994802" w:rsidP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33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 w:rsidR="00B96997">
              <w:rPr>
                <w:rFonts w:ascii="Times New Roman" w:eastAsia="標楷體" w:hAnsi="Times New Roman" w:hint="eastAsia"/>
                <w:color w:val="000000"/>
                <w:sz w:val="22"/>
              </w:rPr>
              <w:t>以上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color w:val="000000"/>
                <w:sz w:val="22"/>
              </w:rPr>
              <w:t>~1,250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1,25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屬風險較為高者之活動</w:t>
            </w:r>
          </w:p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例</w:t>
            </w:r>
          </w:p>
        </w:tc>
      </w:tr>
      <w:tr w:rsidR="00176626" w:rsidTr="00994802">
        <w:trPr>
          <w:cantSplit/>
          <w:trHeight w:val="862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室</w:t>
            </w:r>
          </w:p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外</w:t>
            </w:r>
          </w:p>
          <w:p w:rsidR="00176626" w:rsidRDefault="00176626">
            <w:pPr>
              <w:pStyle w:val="Standard"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1.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室外</w:t>
            </w:r>
          </w:p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非運動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47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演講、座談會、藝文活動、研習會、記者會及其他靜態活動、音樂會、餐會、謝年會、博覽會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美食、資訊、旅遊、動漫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、園遊會、家庭日、演唱會、展覽、露營活動</w:t>
            </w:r>
            <w:r>
              <w:rPr>
                <w:rFonts w:ascii="Times New Roman" w:eastAsia="標楷體" w:hAnsi="Times New Roman"/>
              </w:rPr>
              <w:t>等室外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非運動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活動。</w:t>
            </w:r>
          </w:p>
        </w:tc>
        <w:tc>
          <w:tcPr>
            <w:tcW w:w="13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1000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以上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~3,000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3,00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~5,000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5,00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</w:p>
        </w:tc>
        <w:tc>
          <w:tcPr>
            <w:tcW w:w="13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</w:tc>
        <w:tc>
          <w:tcPr>
            <w:tcW w:w="13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考量為戶外活動，單一事故風險較為分散</w:t>
            </w:r>
          </w:p>
        </w:tc>
      </w:tr>
      <w:tr w:rsidR="00176626" w:rsidTr="00994802">
        <w:trPr>
          <w:cantSplit/>
          <w:trHeight w:val="33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2.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室外</w:t>
            </w:r>
          </w:p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運動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登山、健行、路跑、運動、自行車活動、各種演習（含水上救生、防災、消防等）、童玩節、運動球賽、學校打靶、</w:t>
            </w:r>
            <w:r>
              <w:rPr>
                <w:rFonts w:ascii="Times New Roman" w:eastAsia="標楷體" w:hAnsi="Times New Roman"/>
                <w:sz w:val="22"/>
              </w:rPr>
              <w:t>BB</w:t>
            </w:r>
            <w:r>
              <w:rPr>
                <w:rFonts w:ascii="Times New Roman" w:eastAsia="標楷體" w:hAnsi="Times New Roman"/>
                <w:sz w:val="22"/>
              </w:rPr>
              <w:t>彈漆彈射擊（含生存遊戲等其他</w:t>
            </w:r>
            <w:r>
              <w:rPr>
                <w:rFonts w:ascii="Times New Roman" w:eastAsia="標楷體" w:hAnsi="Times New Roman"/>
              </w:rPr>
              <w:t>室外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運動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活動。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9B20B1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1,00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 w:rsidR="00176626"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以上</w:t>
            </w:r>
            <w:r w:rsidR="00176626">
              <w:rPr>
                <w:rFonts w:ascii="Times New Roman" w:eastAsia="標楷體" w:hAnsi="Times New Roman"/>
                <w:color w:val="000000"/>
                <w:sz w:val="22"/>
              </w:rPr>
              <w:t>~3,000</w:t>
            </w:r>
            <w:r w:rsidR="00176626"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3,00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~10,000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10,00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76626" w:rsidRDefault="00176626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考量為戶外活動，單一事故風險較為分散</w:t>
            </w:r>
          </w:p>
        </w:tc>
      </w:tr>
      <w:tr w:rsidR="00994802" w:rsidTr="008E4601">
        <w:trPr>
          <w:cantSplit/>
          <w:trHeight w:val="33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rPr>
                <w:rFonts w:hint="eastAsi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3.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風險性高</w:t>
            </w:r>
          </w:p>
          <w:p w:rsidR="00994802" w:rsidRDefault="00994802">
            <w:pPr>
              <w:pStyle w:val="a5"/>
              <w:spacing w:line="0" w:lineRule="atLeast"/>
              <w:ind w:left="360"/>
              <w:jc w:val="both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施放煙火、爆竹或其他有易爆易燃物質之活動、跨年晚會、水域活動、溯溪、戶外攀岩</w:t>
            </w:r>
            <w:r>
              <w:rPr>
                <w:rFonts w:ascii="Times New Roman" w:eastAsia="標楷體" w:hAnsi="Times New Roman"/>
              </w:rPr>
              <w:t>等其他室外風險性高之活動。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 w:rsidP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X</w:t>
            </w:r>
          </w:p>
          <w:p w:rsidR="00994802" w:rsidRDefault="00994802" w:rsidP="00176626">
            <w:pPr>
              <w:pStyle w:val="Standard"/>
              <w:widowControl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B20B1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1,00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 w:rsidR="00994802"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以上</w:t>
            </w:r>
            <w:r w:rsidR="00994802">
              <w:rPr>
                <w:rFonts w:ascii="Times New Roman" w:eastAsia="標楷體" w:hAnsi="Times New Roman"/>
                <w:color w:val="000000"/>
                <w:sz w:val="22"/>
              </w:rPr>
              <w:t>~3,000</w:t>
            </w:r>
            <w:r w:rsidR="00994802"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3,00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~5,000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人以下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超過</w:t>
            </w:r>
            <w:r w:rsidR="009B20B1">
              <w:rPr>
                <w:rFonts w:ascii="Times New Roman" w:eastAsia="標楷體" w:hAnsi="Times New Roman"/>
                <w:color w:val="000000"/>
                <w:sz w:val="22"/>
              </w:rPr>
              <w:t>5,00</w:t>
            </w:r>
            <w:r w:rsidR="009B20B1">
              <w:rPr>
                <w:rFonts w:ascii="Times New Roman" w:eastAsia="標楷體" w:hAnsi="Times New Roman" w:hint="eastAsia"/>
                <w:color w:val="000000"/>
                <w:sz w:val="22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4802" w:rsidRDefault="00994802">
            <w:pPr>
              <w:pStyle w:val="Standard"/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人口聚集密度相對高，單一事故風險較高</w:t>
            </w:r>
          </w:p>
        </w:tc>
      </w:tr>
    </w:tbl>
    <w:p w:rsidR="000F33EA" w:rsidRPr="00176626" w:rsidRDefault="00176626">
      <w:pPr>
        <w:pStyle w:val="Standard"/>
        <w:rPr>
          <w:rFonts w:ascii="標楷體" w:eastAsia="標楷體" w:hAnsi="標楷體"/>
          <w:color w:val="000000"/>
          <w:sz w:val="22"/>
        </w:rPr>
      </w:pPr>
      <w:r w:rsidRPr="00176626">
        <w:rPr>
          <w:rFonts w:ascii="標楷體" w:eastAsia="標楷體" w:hAnsi="標楷體" w:hint="eastAsia"/>
          <w:color w:val="000000"/>
          <w:sz w:val="22"/>
        </w:rPr>
        <w:t>註：未達大型群聚活動標準之活動，投保金額建議參考</w:t>
      </w:r>
      <w:r w:rsidRPr="00176626">
        <w:rPr>
          <w:rFonts w:ascii="標楷體" w:eastAsia="標楷體" w:hAnsi="標楷體" w:cs="Arial" w:hint="eastAsia"/>
          <w:color w:val="000000"/>
          <w:sz w:val="22"/>
        </w:rPr>
        <w:t>行政院核定之「公共場所或舉辦各類活動投保責任保險適足保險金額建議方案」</w:t>
      </w:r>
    </w:p>
    <w:sectPr w:rsidR="000F33EA" w:rsidRPr="00176626">
      <w:pgSz w:w="16838" w:h="11906" w:orient="landscape"/>
      <w:pgMar w:top="851" w:right="1440" w:bottom="85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C9" w:rsidRDefault="000A3CC9">
      <w:pPr>
        <w:rPr>
          <w:rFonts w:hint="eastAsia"/>
        </w:rPr>
      </w:pPr>
      <w:r>
        <w:separator/>
      </w:r>
    </w:p>
  </w:endnote>
  <w:endnote w:type="continuationSeparator" w:id="0">
    <w:p w:rsidR="000A3CC9" w:rsidRDefault="000A3C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C9" w:rsidRDefault="000A3C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A3CC9" w:rsidRDefault="000A3C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DAA"/>
    <w:multiLevelType w:val="multilevel"/>
    <w:tmpl w:val="5C0CCBF4"/>
    <w:styleLink w:val="WW8Num1"/>
    <w:lvl w:ilvl="0">
      <w:numFmt w:val="bullet"/>
      <w:lvlText w:val=""/>
      <w:lvlJc w:val="left"/>
      <w:rPr>
        <w:rFonts w:ascii="Wingdings" w:hAnsi="Wingdings" w:cs="Wingdings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33EA"/>
    <w:rsid w:val="000A3CC9"/>
    <w:rsid w:val="000F33EA"/>
    <w:rsid w:val="001036DF"/>
    <w:rsid w:val="00176626"/>
    <w:rsid w:val="001919FE"/>
    <w:rsid w:val="001C2606"/>
    <w:rsid w:val="003C7D2F"/>
    <w:rsid w:val="003D5271"/>
    <w:rsid w:val="0042628D"/>
    <w:rsid w:val="00437AE0"/>
    <w:rsid w:val="00546919"/>
    <w:rsid w:val="005636DD"/>
    <w:rsid w:val="00634F7A"/>
    <w:rsid w:val="007848CC"/>
    <w:rsid w:val="00994802"/>
    <w:rsid w:val="009B20B1"/>
    <w:rsid w:val="00AD14C7"/>
    <w:rsid w:val="00B409E6"/>
    <w:rsid w:val="00B86AC3"/>
    <w:rsid w:val="00B96997"/>
    <w:rsid w:val="00C249D0"/>
    <w:rsid w:val="00C83C5E"/>
    <w:rsid w:val="00F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劉亦修</dc:creator>
  <cp:lastModifiedBy>user</cp:lastModifiedBy>
  <cp:revision>3</cp:revision>
  <cp:lastPrinted>2020-07-14T09:47:00Z</cp:lastPrinted>
  <dcterms:created xsi:type="dcterms:W3CDTF">2020-07-24T02:11:00Z</dcterms:created>
  <dcterms:modified xsi:type="dcterms:W3CDTF">2020-07-24T02:14:00Z</dcterms:modified>
</cp:coreProperties>
</file>