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1B1" w:rsidRDefault="00ED31B1">
      <w:pPr>
        <w:pStyle w:val="a3"/>
        <w:rPr>
          <w:sz w:val="20"/>
        </w:rPr>
      </w:pPr>
    </w:p>
    <w:p w:rsidR="00ED31B1" w:rsidRDefault="00ED31B1">
      <w:pPr>
        <w:pStyle w:val="a3"/>
        <w:rPr>
          <w:sz w:val="20"/>
        </w:rPr>
      </w:pPr>
    </w:p>
    <w:p w:rsidR="00ED31B1" w:rsidRDefault="00ED31B1">
      <w:pPr>
        <w:pStyle w:val="a3"/>
        <w:rPr>
          <w:sz w:val="20"/>
        </w:rPr>
      </w:pPr>
    </w:p>
    <w:p w:rsidR="00ED31B1" w:rsidRDefault="00ED31B1">
      <w:pPr>
        <w:pStyle w:val="a3"/>
        <w:spacing w:before="4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9056"/>
      </w:tblGrid>
      <w:tr w:rsidR="00ED31B1">
        <w:trPr>
          <w:trHeight w:val="401"/>
        </w:trPr>
        <w:tc>
          <w:tcPr>
            <w:tcW w:w="878" w:type="dxa"/>
            <w:tcBorders>
              <w:left w:val="single" w:sz="4" w:space="0" w:color="000000"/>
              <w:right w:val="single" w:sz="4" w:space="0" w:color="000000"/>
            </w:tcBorders>
          </w:tcPr>
          <w:p w:rsidR="00ED31B1" w:rsidRDefault="00ED31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56" w:type="dxa"/>
            <w:tcBorders>
              <w:left w:val="single" w:sz="4" w:space="0" w:color="000000"/>
              <w:right w:val="single" w:sz="4" w:space="0" w:color="000000"/>
            </w:tcBorders>
          </w:tcPr>
          <w:p w:rsidR="00ED31B1" w:rsidRDefault="00AD2BBC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役男因案緩徵申請說明</w:t>
            </w:r>
          </w:p>
        </w:tc>
      </w:tr>
      <w:tr w:rsidR="00ED31B1">
        <w:trPr>
          <w:trHeight w:val="365"/>
        </w:trPr>
        <w:tc>
          <w:tcPr>
            <w:tcW w:w="878" w:type="dxa"/>
            <w:tcBorders>
              <w:left w:val="single" w:sz="4" w:space="0" w:color="000000"/>
              <w:right w:val="single" w:sz="4" w:space="0" w:color="000000"/>
            </w:tcBorders>
          </w:tcPr>
          <w:p w:rsidR="00ED31B1" w:rsidRDefault="00AD2BBC">
            <w:pPr>
              <w:pStyle w:val="TableParagraph"/>
              <w:spacing w:before="50"/>
              <w:rPr>
                <w:sz w:val="18"/>
              </w:rPr>
            </w:pPr>
            <w:r>
              <w:rPr>
                <w:sz w:val="18"/>
              </w:rPr>
              <w:t>法規依據</w:t>
            </w:r>
          </w:p>
        </w:tc>
        <w:tc>
          <w:tcPr>
            <w:tcW w:w="9056" w:type="dxa"/>
            <w:tcBorders>
              <w:left w:val="single" w:sz="4" w:space="0" w:color="000000"/>
              <w:right w:val="single" w:sz="4" w:space="0" w:color="000000"/>
            </w:tcBorders>
          </w:tcPr>
          <w:p w:rsidR="00ED31B1" w:rsidRDefault="00AD2BBC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6"/>
                <w:w w:val="95"/>
                <w:sz w:val="20"/>
              </w:rPr>
              <w:t>兵役法第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35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spacing w:val="-15"/>
                <w:w w:val="95"/>
                <w:sz w:val="20"/>
              </w:rPr>
              <w:t>條第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spacing w:val="-15"/>
                <w:w w:val="95"/>
                <w:sz w:val="20"/>
              </w:rPr>
              <w:t>項第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8"/>
                <w:w w:val="95"/>
                <w:sz w:val="20"/>
              </w:rPr>
              <w:t>款、</w:t>
            </w:r>
            <w:proofErr w:type="gramStart"/>
            <w:r>
              <w:rPr>
                <w:spacing w:val="-8"/>
                <w:w w:val="95"/>
                <w:sz w:val="20"/>
              </w:rPr>
              <w:t>免役禁役緩徵</w:t>
            </w:r>
            <w:proofErr w:type="gramEnd"/>
            <w:r>
              <w:rPr>
                <w:spacing w:val="-8"/>
                <w:w w:val="95"/>
                <w:sz w:val="20"/>
              </w:rPr>
              <w:t>緩召實施辦法第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17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spacing w:val="-13"/>
                <w:w w:val="95"/>
                <w:sz w:val="20"/>
              </w:rPr>
              <w:t>條及第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18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spacing w:val="-15"/>
                <w:w w:val="95"/>
                <w:sz w:val="20"/>
              </w:rPr>
              <w:t>條</w:t>
            </w:r>
          </w:p>
        </w:tc>
      </w:tr>
      <w:tr w:rsidR="00ED31B1">
        <w:trPr>
          <w:trHeight w:val="5394"/>
        </w:trPr>
        <w:tc>
          <w:tcPr>
            <w:tcW w:w="878" w:type="dxa"/>
            <w:tcBorders>
              <w:left w:val="single" w:sz="4" w:space="0" w:color="000000"/>
              <w:right w:val="single" w:sz="4" w:space="0" w:color="000000"/>
            </w:tcBorders>
          </w:tcPr>
          <w:p w:rsidR="00ED31B1" w:rsidRDefault="00AD2BBC">
            <w:pPr>
              <w:pStyle w:val="TableParagraph"/>
              <w:spacing w:before="50"/>
              <w:rPr>
                <w:sz w:val="18"/>
              </w:rPr>
            </w:pPr>
            <w:r>
              <w:rPr>
                <w:sz w:val="18"/>
              </w:rPr>
              <w:t>資格條件</w:t>
            </w:r>
          </w:p>
        </w:tc>
        <w:tc>
          <w:tcPr>
            <w:tcW w:w="9056" w:type="dxa"/>
            <w:tcBorders>
              <w:left w:val="single" w:sz="4" w:space="0" w:color="000000"/>
              <w:right w:val="single" w:sz="4" w:space="0" w:color="000000"/>
            </w:tcBorders>
          </w:tcPr>
          <w:p w:rsidR="00ED31B1" w:rsidRDefault="00AD2BBC">
            <w:pPr>
              <w:pStyle w:val="TableParagraph"/>
              <w:spacing w:before="46"/>
              <w:ind w:left="145"/>
              <w:rPr>
                <w:sz w:val="18"/>
              </w:rPr>
            </w:pPr>
            <w:r>
              <w:rPr>
                <w:spacing w:val="-1"/>
                <w:position w:val="1"/>
                <w:sz w:val="18"/>
              </w:rPr>
              <w:t>（一</w:t>
            </w:r>
            <w:r>
              <w:rPr>
                <w:position w:val="1"/>
                <w:sz w:val="18"/>
              </w:rPr>
              <w:t>）</w:t>
            </w:r>
            <w:r>
              <w:rPr>
                <w:spacing w:val="-9"/>
                <w:position w:val="1"/>
                <w:sz w:val="18"/>
              </w:rPr>
              <w:t>依兵役法第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rFonts w:ascii="Calibri" w:eastAsia="Calibri"/>
                <w:sz w:val="18"/>
              </w:rPr>
              <w:t>35</w:t>
            </w:r>
            <w:r>
              <w:rPr>
                <w:rFonts w:ascii="Calibri" w:eastAsia="Calibri"/>
                <w:spacing w:val="-4"/>
                <w:sz w:val="18"/>
              </w:rPr>
              <w:t xml:space="preserve"> </w:t>
            </w:r>
            <w:r>
              <w:rPr>
                <w:spacing w:val="-18"/>
                <w:position w:val="1"/>
                <w:sz w:val="18"/>
              </w:rPr>
              <w:t>條第</w:t>
            </w:r>
            <w:r>
              <w:rPr>
                <w:spacing w:val="-18"/>
                <w:position w:val="1"/>
                <w:sz w:val="18"/>
              </w:rPr>
              <w:t xml:space="preserve"> </w:t>
            </w:r>
            <w:r>
              <w:rPr>
                <w:rFonts w:ascii="Calibri" w:eastAsia="Calibri"/>
                <w:sz w:val="18"/>
              </w:rPr>
              <w:t>1</w:t>
            </w:r>
            <w:r>
              <w:rPr>
                <w:rFonts w:ascii="Calibri" w:eastAsia="Calibri"/>
                <w:spacing w:val="-6"/>
                <w:sz w:val="18"/>
              </w:rPr>
              <w:t xml:space="preserve"> </w:t>
            </w:r>
            <w:r>
              <w:rPr>
                <w:spacing w:val="-18"/>
                <w:position w:val="1"/>
                <w:sz w:val="18"/>
              </w:rPr>
              <w:t>項第</w:t>
            </w:r>
            <w:r>
              <w:rPr>
                <w:spacing w:val="-18"/>
                <w:position w:val="1"/>
                <w:sz w:val="18"/>
              </w:rPr>
              <w:t xml:space="preserve"> </w:t>
            </w:r>
            <w:r>
              <w:rPr>
                <w:rFonts w:ascii="Calibri" w:eastAsia="Calibri"/>
                <w:sz w:val="18"/>
              </w:rPr>
              <w:t>2</w:t>
            </w:r>
            <w:r>
              <w:rPr>
                <w:rFonts w:ascii="Calibri" w:eastAsia="Calibri"/>
                <w:spacing w:val="-4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款規定申請緩徵者，依下列規定辦理：</w:t>
            </w:r>
          </w:p>
          <w:p w:rsidR="00ED31B1" w:rsidRDefault="00AD2BBC">
            <w:pPr>
              <w:pStyle w:val="TableParagraph"/>
              <w:spacing w:before="126" w:line="374" w:lineRule="auto"/>
              <w:ind w:left="709" w:right="15" w:hanging="282"/>
              <w:rPr>
                <w:sz w:val="18"/>
              </w:rPr>
            </w:pPr>
            <w:r>
              <w:rPr>
                <w:spacing w:val="-1"/>
                <w:sz w:val="18"/>
              </w:rPr>
              <w:t>一、犯最重本刑為有期徒刑以上之刑之罪在追訴中者，由其本人、戶長或其家屬，檢附起訴書或其他證明，送</w:t>
            </w:r>
            <w:r>
              <w:rPr>
                <w:sz w:val="18"/>
              </w:rPr>
              <w:t>戶籍地鄉（鎮、市、區）公所，轉報直轄市、縣（市）政府核准之。</w:t>
            </w:r>
          </w:p>
          <w:p w:rsidR="00ED31B1" w:rsidRDefault="00AD2BBC">
            <w:pPr>
              <w:pStyle w:val="TableParagraph"/>
              <w:spacing w:line="374" w:lineRule="auto"/>
              <w:ind w:left="709" w:right="15" w:hanging="282"/>
              <w:rPr>
                <w:sz w:val="18"/>
              </w:rPr>
            </w:pPr>
            <w:r>
              <w:rPr>
                <w:spacing w:val="-1"/>
                <w:sz w:val="18"/>
              </w:rPr>
              <w:t>二、犯罪判處徒刑在執行中者，由司（軍）法</w:t>
            </w:r>
            <w:proofErr w:type="gramStart"/>
            <w:r>
              <w:rPr>
                <w:spacing w:val="-1"/>
                <w:sz w:val="18"/>
              </w:rPr>
              <w:t>機關造送名冊</w:t>
            </w:r>
            <w:proofErr w:type="gramEnd"/>
            <w:r>
              <w:rPr>
                <w:spacing w:val="-1"/>
                <w:sz w:val="18"/>
              </w:rPr>
              <w:t>，通知其戶籍地直轄市、縣（市）政府核准之，或</w:t>
            </w:r>
            <w:r>
              <w:rPr>
                <w:sz w:val="18"/>
              </w:rPr>
              <w:t>由戶籍地鄉（鎮、市、區）公所，檢具法務部之通報及相關證明，轉報直轄市、縣（市）政府核准之。</w:t>
            </w:r>
          </w:p>
          <w:p w:rsidR="00ED31B1" w:rsidRDefault="00AD2BBC">
            <w:pPr>
              <w:pStyle w:val="TableParagraph"/>
              <w:spacing w:before="1"/>
              <w:ind w:left="426"/>
              <w:rPr>
                <w:sz w:val="18"/>
              </w:rPr>
            </w:pPr>
            <w:r>
              <w:rPr>
                <w:sz w:val="18"/>
              </w:rPr>
              <w:t>經交付保安處分在執行中者，其緩徵</w:t>
            </w:r>
            <w:proofErr w:type="gramStart"/>
            <w:r>
              <w:rPr>
                <w:sz w:val="18"/>
              </w:rPr>
              <w:t>準</w:t>
            </w:r>
            <w:proofErr w:type="gramEnd"/>
            <w:r>
              <w:rPr>
                <w:sz w:val="18"/>
              </w:rPr>
              <w:t>用前項第二款規定。</w:t>
            </w:r>
          </w:p>
          <w:p w:rsidR="00ED31B1" w:rsidRDefault="00AD2BBC">
            <w:pPr>
              <w:pStyle w:val="TableParagraph"/>
              <w:spacing w:before="129" w:line="374" w:lineRule="auto"/>
              <w:ind w:left="426" w:right="3320" w:hanging="282"/>
              <w:rPr>
                <w:sz w:val="18"/>
              </w:rPr>
            </w:pPr>
            <w:r>
              <w:rPr>
                <w:spacing w:val="-1"/>
                <w:sz w:val="18"/>
              </w:rPr>
              <w:t>（二）依前條規定核准緩徵者，具有下列情形之一，其緩徵原因消滅：</w:t>
            </w:r>
            <w:r>
              <w:rPr>
                <w:spacing w:val="-87"/>
                <w:sz w:val="18"/>
              </w:rPr>
              <w:t xml:space="preserve"> </w:t>
            </w:r>
            <w:r>
              <w:rPr>
                <w:sz w:val="18"/>
              </w:rPr>
              <w:t>一、經不起訴處分確定。</w:t>
            </w:r>
          </w:p>
          <w:p w:rsidR="00ED31B1" w:rsidRDefault="00AD2BBC">
            <w:pPr>
              <w:pStyle w:val="TableParagraph"/>
              <w:spacing w:before="1" w:line="374" w:lineRule="auto"/>
              <w:ind w:left="426" w:right="4838"/>
              <w:rPr>
                <w:sz w:val="18"/>
              </w:rPr>
            </w:pPr>
            <w:r>
              <w:rPr>
                <w:spacing w:val="-1"/>
                <w:sz w:val="18"/>
              </w:rPr>
              <w:t>二、經無罪、</w:t>
            </w:r>
            <w:proofErr w:type="gramStart"/>
            <w:r>
              <w:rPr>
                <w:spacing w:val="-1"/>
                <w:sz w:val="18"/>
              </w:rPr>
              <w:t>免訴</w:t>
            </w:r>
            <w:proofErr w:type="gramEnd"/>
            <w:r>
              <w:rPr>
                <w:spacing w:val="-1"/>
                <w:sz w:val="18"/>
              </w:rPr>
              <w:t>、免刑或不受理之判決確定。</w:t>
            </w:r>
            <w:r>
              <w:rPr>
                <w:sz w:val="18"/>
              </w:rPr>
              <w:t>三、判處罪刑經宣告緩刑確定。</w:t>
            </w:r>
          </w:p>
          <w:p w:rsidR="00ED31B1" w:rsidRDefault="00AD2BBC">
            <w:pPr>
              <w:pStyle w:val="TableParagraph"/>
              <w:spacing w:line="374" w:lineRule="auto"/>
              <w:ind w:left="426" w:right="6098"/>
              <w:rPr>
                <w:sz w:val="18"/>
              </w:rPr>
            </w:pPr>
            <w:r>
              <w:rPr>
                <w:spacing w:val="-1"/>
                <w:sz w:val="18"/>
              </w:rPr>
              <w:t>四、刑期未執行完畢經准假釋。</w:t>
            </w:r>
            <w:r>
              <w:rPr>
                <w:sz w:val="18"/>
              </w:rPr>
              <w:t>五、刑期執行完畢或經赦免。</w:t>
            </w:r>
          </w:p>
          <w:p w:rsidR="00ED31B1" w:rsidRDefault="00AD2BBC">
            <w:pPr>
              <w:pStyle w:val="TableParagraph"/>
              <w:ind w:left="426"/>
              <w:rPr>
                <w:sz w:val="18"/>
              </w:rPr>
            </w:pPr>
            <w:r>
              <w:rPr>
                <w:sz w:val="18"/>
              </w:rPr>
              <w:t>六、交付保安處分執行期滿，</w:t>
            </w:r>
            <w:proofErr w:type="gramStart"/>
            <w:r>
              <w:rPr>
                <w:sz w:val="18"/>
              </w:rPr>
              <w:t>或准免</w:t>
            </w:r>
            <w:proofErr w:type="gramEnd"/>
            <w:r>
              <w:rPr>
                <w:sz w:val="18"/>
              </w:rPr>
              <w:t>執行而無其他徒刑仍須繼續執行。</w:t>
            </w:r>
          </w:p>
          <w:p w:rsidR="00ED31B1" w:rsidRDefault="00AD2BBC">
            <w:pPr>
              <w:pStyle w:val="TableParagraph"/>
              <w:spacing w:line="360" w:lineRule="atLeast"/>
              <w:ind w:left="425" w:right="16"/>
              <w:rPr>
                <w:sz w:val="18"/>
              </w:rPr>
            </w:pPr>
            <w:r>
              <w:rPr>
                <w:spacing w:val="-1"/>
                <w:sz w:val="18"/>
              </w:rPr>
              <w:t>前項緩徵原因消滅者，本人或其戶長應於三十日內向戶籍地鄉（鎮、市、區）公所自動申報，司</w:t>
            </w:r>
            <w:r>
              <w:rPr>
                <w:sz w:val="18"/>
              </w:rPr>
              <w:t>（軍）法機關應於收受案卷後四十五日內，</w:t>
            </w:r>
            <w:proofErr w:type="gramStart"/>
            <w:r>
              <w:rPr>
                <w:sz w:val="18"/>
              </w:rPr>
              <w:t>造送名冊</w:t>
            </w:r>
            <w:proofErr w:type="gramEnd"/>
            <w:r>
              <w:rPr>
                <w:sz w:val="18"/>
              </w:rPr>
              <w:t>通知戶籍地直轄市、縣（市）政府廢止其緩徵核准，依法徵集服役。</w:t>
            </w:r>
          </w:p>
        </w:tc>
      </w:tr>
      <w:tr w:rsidR="00ED31B1">
        <w:trPr>
          <w:trHeight w:val="1543"/>
        </w:trPr>
        <w:tc>
          <w:tcPr>
            <w:tcW w:w="878" w:type="dxa"/>
            <w:tcBorders>
              <w:left w:val="single" w:sz="4" w:space="0" w:color="000000"/>
              <w:right w:val="single" w:sz="4" w:space="0" w:color="000000"/>
            </w:tcBorders>
          </w:tcPr>
          <w:p w:rsidR="00ED31B1" w:rsidRDefault="00AD2BBC">
            <w:pPr>
              <w:pStyle w:val="TableParagraph"/>
              <w:spacing w:before="50"/>
              <w:rPr>
                <w:sz w:val="18"/>
              </w:rPr>
            </w:pPr>
            <w:r>
              <w:rPr>
                <w:sz w:val="18"/>
              </w:rPr>
              <w:t>所需文件</w:t>
            </w:r>
          </w:p>
        </w:tc>
        <w:tc>
          <w:tcPr>
            <w:tcW w:w="9056" w:type="dxa"/>
            <w:tcBorders>
              <w:left w:val="single" w:sz="4" w:space="0" w:color="000000"/>
              <w:right w:val="single" w:sz="4" w:space="0" w:color="000000"/>
            </w:tcBorders>
          </w:tcPr>
          <w:p w:rsidR="00ED31B1" w:rsidRDefault="00AD2BBC">
            <w:pPr>
              <w:pStyle w:val="TableParagraph"/>
              <w:spacing w:before="50" w:line="374" w:lineRule="auto"/>
              <w:ind w:right="16"/>
              <w:rPr>
                <w:sz w:val="18"/>
              </w:rPr>
            </w:pPr>
            <w:r>
              <w:rPr>
                <w:spacing w:val="-1"/>
                <w:sz w:val="18"/>
              </w:rPr>
              <w:t>役男在監或在押者，由家屬檢附在監</w:t>
            </w:r>
            <w:r>
              <w:rPr>
                <w:sz w:val="18"/>
              </w:rPr>
              <w:t>（在押）證明；受感化或保安處分，檢附法院判決書正、影本及在監所證明書</w:t>
            </w:r>
            <w:r>
              <w:rPr>
                <w:spacing w:val="-1"/>
                <w:sz w:val="18"/>
              </w:rPr>
              <w:t>等文件；訴訟中檢附起訴書或上訴書；</w:t>
            </w:r>
            <w:r>
              <w:rPr>
                <w:spacing w:val="-1"/>
                <w:sz w:val="18"/>
              </w:rPr>
              <w:t>倘司法程序</w:t>
            </w:r>
            <w:r>
              <w:rPr>
                <w:spacing w:val="-1"/>
                <w:sz w:val="18"/>
              </w:rPr>
              <w:t>已告</w:t>
            </w:r>
            <w:r>
              <w:rPr>
                <w:sz w:val="18"/>
              </w:rPr>
              <w:t>一段落，必要時得由戶籍地區公所向</w:t>
            </w:r>
            <w:proofErr w:type="gramStart"/>
            <w:r>
              <w:rPr>
                <w:sz w:val="18"/>
              </w:rPr>
              <w:t>向</w:t>
            </w:r>
            <w:proofErr w:type="gramEnd"/>
            <w:r>
              <w:rPr>
                <w:sz w:val="18"/>
              </w:rPr>
              <w:t>臺灣高等檢察署索取刑案紀錄</w:t>
            </w:r>
            <w:proofErr w:type="gramStart"/>
            <w:r>
              <w:rPr>
                <w:sz w:val="18"/>
              </w:rPr>
              <w:t>簡覆表</w:t>
            </w:r>
            <w:proofErr w:type="gramEnd"/>
            <w:r>
              <w:rPr>
                <w:sz w:val="18"/>
              </w:rPr>
              <w:t>及在監在押紀錄表確認役男預定出監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日期辦理因案緩徵</w:t>
            </w:r>
          </w:p>
        </w:tc>
      </w:tr>
    </w:tbl>
    <w:p w:rsidR="00AD2BBC" w:rsidRPr="00CD4801" w:rsidRDefault="00AD2BBC">
      <w:bookmarkStart w:id="0" w:name="_GoBack"/>
      <w:bookmarkEnd w:id="0"/>
    </w:p>
    <w:sectPr w:rsidR="00AD2BBC" w:rsidRPr="00CD4801">
      <w:type w:val="continuous"/>
      <w:pgSz w:w="11900" w:h="16840"/>
      <w:pgMar w:top="1600" w:right="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31B1"/>
    <w:rsid w:val="00AD2BBC"/>
    <w:rsid w:val="00CD4801"/>
    <w:rsid w:val="00ED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083DAA-FE4E-4382-8A17-84B647DA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家庭因素申請服替代役</dc:title>
  <dc:creator>jsh168</dc:creator>
  <cp:lastModifiedBy>嚴怡瑋</cp:lastModifiedBy>
  <cp:revision>2</cp:revision>
  <dcterms:created xsi:type="dcterms:W3CDTF">2024-04-30T08:17:00Z</dcterms:created>
  <dcterms:modified xsi:type="dcterms:W3CDTF">2024-04-30T08:18:00Z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2019-10-08T00:00:00Z</vt:filetime>
  </property>
</Properties>
</file>